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03586">
        <w:rPr>
          <w:rFonts w:ascii="Calibri" w:hAnsi="Calibri" w:cs="Calibri"/>
          <w:color w:val="000000"/>
          <w:sz w:val="20"/>
          <w:szCs w:val="20"/>
        </w:rPr>
        <w:t xml:space="preserve">JULKINEN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86" w:rsidRPr="00B03586" w:rsidRDefault="00CA0404" w:rsidP="00B03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WIITAUNIONIN</w:t>
      </w:r>
      <w:r w:rsidR="00B03586" w:rsidRPr="00B03586">
        <w:rPr>
          <w:rFonts w:ascii="Calibri" w:hAnsi="Calibri" w:cs="Calibri"/>
          <w:b/>
          <w:color w:val="000000"/>
          <w:sz w:val="28"/>
          <w:szCs w:val="28"/>
        </w:rPr>
        <w:t xml:space="preserve">  DIGITURVAPOLITIIKKA</w:t>
      </w:r>
      <w:proofErr w:type="gramEnd"/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b/>
          <w:bCs/>
          <w:sz w:val="28"/>
          <w:szCs w:val="28"/>
        </w:rPr>
      </w:pPr>
      <w:r w:rsidRPr="00B03586">
        <w:rPr>
          <w:rFonts w:ascii="Calibri" w:hAnsi="Calibri" w:cs="Calibri"/>
          <w:sz w:val="24"/>
          <w:szCs w:val="24"/>
        </w:rPr>
        <w:t xml:space="preserve"> </w:t>
      </w:r>
      <w:r w:rsidRPr="00B03586">
        <w:rPr>
          <w:rFonts w:ascii="Calibri" w:hAnsi="Calibri" w:cs="Calibri"/>
          <w:b/>
          <w:bCs/>
          <w:sz w:val="28"/>
          <w:szCs w:val="28"/>
        </w:rPr>
        <w:t xml:space="preserve">1 Johdanto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sz w:val="28"/>
          <w:szCs w:val="28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>Tieto on keskeisessä roolissa Pihtiputaan kunnan ja Viitasaaren kaupung</w:t>
      </w:r>
      <w:r w:rsidR="00CA0404">
        <w:rPr>
          <w:rFonts w:ascii="Calibri" w:hAnsi="Calibri" w:cs="Calibri"/>
        </w:rPr>
        <w:t>in toiminnassa ja palvelutuotan</w:t>
      </w:r>
      <w:r w:rsidRPr="00B03586">
        <w:rPr>
          <w:rFonts w:ascii="Calibri" w:hAnsi="Calibri" w:cs="Calibri"/>
        </w:rPr>
        <w:t>nossa. Jotta tieto on tehokkaasti hyödynnettävissä, tiedon hallinta- ja käsitt</w:t>
      </w:r>
      <w:r w:rsidR="00CA0404">
        <w:rPr>
          <w:rFonts w:ascii="Calibri" w:hAnsi="Calibri" w:cs="Calibri"/>
        </w:rPr>
        <w:t>elykäytäntöjen tulee toimia asi</w:t>
      </w:r>
      <w:r w:rsidRPr="00B03586">
        <w:rPr>
          <w:rFonts w:ascii="Calibri" w:hAnsi="Calibri" w:cs="Calibri"/>
        </w:rPr>
        <w:t xml:space="preserve">anmukaisesti kaikissa tilanteissa.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 xml:space="preserve">Kunnan johto määrittelee tässä politiikassa digitaalista turvallisuutta koskevat periaatteet, linjaukset, vastuut ja tavoitteet. Politiikka toimii perustana digitaalista turvallisuutta koskeville ohjeille, joiden tehtävänä on tarkentaa politiikkaa ja auttaa sen käytäntöön soveltamisessa.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>Tämä politiikka koskee jokaista kunnan työntekijää ja sidosryhmän edusta</w:t>
      </w:r>
      <w:r w:rsidR="00CA0404">
        <w:rPr>
          <w:rFonts w:ascii="Calibri" w:hAnsi="Calibri" w:cs="Calibri"/>
        </w:rPr>
        <w:t>jaa, joka työnsä tai toimeksian</w:t>
      </w:r>
      <w:r w:rsidRPr="00B03586">
        <w:rPr>
          <w:rFonts w:ascii="Calibri" w:hAnsi="Calibri" w:cs="Calibri"/>
        </w:rPr>
        <w:t xml:space="preserve">tonsa puitteissa käsittelee kunnan omistamaa tai hallinnoimaa tietoa.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 xml:space="preserve">Tätä politiikkaa sovelletaan kaikkeen tietoon ja muuhun dataan (myöh. tieto) riippumatta sen esitystavasta, muodosta, suojaustasosta, elinkaaren vaiheesta, esiintymisympäristöstä tai siirtotiestä.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b/>
          <w:bCs/>
          <w:sz w:val="28"/>
          <w:szCs w:val="28"/>
        </w:rPr>
      </w:pPr>
      <w:r w:rsidRPr="00B03586">
        <w:rPr>
          <w:rFonts w:ascii="Calibri" w:hAnsi="Calibri" w:cs="Calibri"/>
          <w:b/>
          <w:bCs/>
          <w:sz w:val="28"/>
          <w:szCs w:val="28"/>
        </w:rPr>
        <w:t xml:space="preserve">2 Vaatimustenmukaisuus ja tavoitteet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sz w:val="28"/>
          <w:szCs w:val="28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 xml:space="preserve">Velvoittavan lainsäädännön lisäksi kunnan digitaaliselle turvallisuudelle asettaa vaatimuksia kunnan toimintaympäristö. Kunta on valinnut digitaalista turvallisuutta ohjaaviksi tekijöiksi, soveltuvilta osin, seuraavat: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39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>EU:n Yleinen Tietosuoja-asetus: (EU) 2016/679 ja tietosuojalaki 1050/2018</w:t>
      </w:r>
    </w:p>
    <w:p w:rsidR="00B03586" w:rsidRPr="00B03586" w:rsidRDefault="00512726" w:rsidP="00B03586">
      <w:pPr>
        <w:keepNext/>
        <w:keepLines/>
        <w:shd w:val="clear" w:color="auto" w:fill="FFFFFF"/>
        <w:spacing w:after="0"/>
        <w:ind w:left="1304"/>
        <w:textAlignment w:val="baseline"/>
        <w:outlineLvl w:val="2"/>
        <w:rPr>
          <w:rFonts w:eastAsia="Times New Roman" w:cstheme="minorHAnsi"/>
          <w:lang w:eastAsia="fi-FI"/>
        </w:rPr>
      </w:pPr>
      <w:proofErr w:type="gramStart"/>
      <w:r w:rsidRPr="00B03586">
        <w:rPr>
          <w:rFonts w:ascii="Wingdings" w:hAnsi="Wingdings" w:cs="Wingdings"/>
        </w:rPr>
        <w:t></w:t>
      </w:r>
      <w:r w:rsidR="00B03586" w:rsidRPr="00B03586">
        <w:rPr>
          <w:rFonts w:asciiTheme="majorHAnsi" w:eastAsiaTheme="majorEastAsia" w:hAnsiTheme="majorHAnsi" w:cstheme="majorBidi"/>
        </w:rPr>
        <w:t xml:space="preserve">   </w:t>
      </w:r>
      <w:r w:rsidR="00B03586" w:rsidRPr="00B03586">
        <w:rPr>
          <w:rFonts w:eastAsia="Times New Roman" w:cstheme="minorHAnsi"/>
          <w:lang w:eastAsia="fi-FI"/>
        </w:rPr>
        <w:t>Laki</w:t>
      </w:r>
      <w:proofErr w:type="gramEnd"/>
      <w:r w:rsidR="00B03586" w:rsidRPr="00B03586">
        <w:rPr>
          <w:rFonts w:eastAsia="Times New Roman" w:cstheme="minorHAnsi"/>
          <w:lang w:eastAsia="fi-FI"/>
        </w:rPr>
        <w:t xml:space="preserve"> </w:t>
      </w:r>
      <w:r w:rsidR="00B03586" w:rsidRPr="00B03586">
        <w:rPr>
          <w:rFonts w:eastAsia="Times New Roman" w:cstheme="minorHAnsi"/>
          <w:bdr w:val="none" w:sz="0" w:space="0" w:color="auto" w:frame="1"/>
          <w:lang w:eastAsia="fi-FI"/>
        </w:rPr>
        <w:t>julkisen hallinnon tiedonhallinnasta 906/ 2019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Julkisen hallinnon digitaalisen turvallisuuden johtoryhmän (VAHTI) ohjeet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 xml:space="preserve">Kunnan digitaalisen turvallisuuden tavoitteena on: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39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yhdenmukaistaa kunnan sisäisiä turvallisuuskäytäntöjä kehittämällä kunnan turvallisuuskulttuuria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varmistaa seudullinen turvallisuuskäytäntöjen yhteensopivuus tekemällä yhteistyötä Pohjoisen Keski-Suomen seutuverkon kuntien ja Pohjoisen Keski-Suomen Verkkopalvelut Oy:n kanssa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 xml:space="preserve">Tavoitteiden saavuttamiseksi toteutetut ja suunnitellut toimenpiteet, kuvataan erillisissä suunnitelmissa.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b/>
          <w:bCs/>
          <w:sz w:val="28"/>
          <w:szCs w:val="28"/>
        </w:rPr>
      </w:pPr>
      <w:r w:rsidRPr="00B03586">
        <w:rPr>
          <w:rFonts w:ascii="Calibri" w:hAnsi="Calibri" w:cs="Calibri"/>
          <w:b/>
          <w:bCs/>
          <w:sz w:val="28"/>
          <w:szCs w:val="28"/>
        </w:rPr>
        <w:t>3 Digitaalinen turvallisuus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sz w:val="28"/>
          <w:szCs w:val="28"/>
        </w:rPr>
      </w:pPr>
      <w:r w:rsidRPr="00B03586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Calibri" w:hAnsi="Calibri" w:cs="Calibri"/>
        </w:rPr>
        <w:t xml:space="preserve">Digitaalisella turvallisuudella tarkoitetaan keskeisiä kunnan määrittelemiä turvallisuuden, riskienhallinnan ja varautumisen osa-alueita, jotka yhdessä tietoturvallisuuden ja tietosuojan kanssa muodostavat eheän kokonaisuuden kunnan tiedon suojaksi: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Pr="00B03586" w:rsidRDefault="00B03586" w:rsidP="00B03586">
      <w:pPr>
        <w:autoSpaceDE w:val="0"/>
        <w:autoSpaceDN w:val="0"/>
        <w:adjustRightInd w:val="0"/>
        <w:spacing w:after="42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>Kybertuvallisuus: Toimenpiteet, joilla turvataan kybertoimintaympäristön</w:t>
      </w:r>
      <w:r w:rsidRPr="00B03586">
        <w:rPr>
          <w:rFonts w:ascii="Calibri" w:hAnsi="Calibri" w:cs="Calibri"/>
          <w:sz w:val="14"/>
          <w:szCs w:val="14"/>
        </w:rPr>
        <w:t xml:space="preserve">1 </w:t>
      </w:r>
      <w:r w:rsidRPr="00B03586">
        <w:rPr>
          <w:rFonts w:ascii="Calibri" w:hAnsi="Calibri" w:cs="Calibri"/>
        </w:rPr>
        <w:t xml:space="preserve">luottamuksellisuus, eheys, saatavuus ja jatkuvuus. </w:t>
      </w:r>
    </w:p>
    <w:p w:rsidR="00B03586" w:rsidRPr="00B03586" w:rsidRDefault="00B03586" w:rsidP="00B03586">
      <w:pPr>
        <w:autoSpaceDE w:val="0"/>
        <w:autoSpaceDN w:val="0"/>
        <w:adjustRightInd w:val="0"/>
        <w:spacing w:after="42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Fyysinen turvallisuus: Toimenpiteet, järjestelmät ja rakenteet, joiden avulla kunnan tiloja, siellä olevia ihmisiä, tietoa ja muuta omaisuutta suojataan fyysisiltä ja kiinteistö- ja </w:t>
      </w:r>
      <w:r w:rsidR="00F57338">
        <w:rPr>
          <w:rFonts w:ascii="Calibri" w:hAnsi="Calibri" w:cs="Calibri"/>
        </w:rPr>
        <w:t>ympäristövahingoilta, vahingoit</w:t>
      </w:r>
      <w:r w:rsidRPr="00B03586">
        <w:rPr>
          <w:rFonts w:ascii="Calibri" w:hAnsi="Calibri" w:cs="Calibri"/>
        </w:rPr>
        <w:t xml:space="preserve">tamisyrityksiltä ja oikeudettomilta henkilöiltä. </w:t>
      </w:r>
    </w:p>
    <w:p w:rsidR="00B03586" w:rsidRPr="00B03586" w:rsidRDefault="00B03586" w:rsidP="00B03586">
      <w:pPr>
        <w:autoSpaceDE w:val="0"/>
        <w:autoSpaceDN w:val="0"/>
        <w:adjustRightInd w:val="0"/>
        <w:spacing w:after="42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Henkilöstöturvallisuus: Tietoturvallisuuteen vaikuttavat toimenpiteet, </w:t>
      </w:r>
      <w:r w:rsidR="00D458CE">
        <w:rPr>
          <w:rFonts w:ascii="Calibri" w:hAnsi="Calibri" w:cs="Calibri"/>
        </w:rPr>
        <w:t>joita suoritetaan henkilöstöpro</w:t>
      </w:r>
      <w:r w:rsidRPr="00B03586">
        <w:rPr>
          <w:rFonts w:ascii="Calibri" w:hAnsi="Calibri" w:cs="Calibri"/>
        </w:rPr>
        <w:t xml:space="preserve">sessissa ennen palvelussuhdetta, sen aikana ja sen päättymisen yhteydessä. </w:t>
      </w:r>
    </w:p>
    <w:p w:rsidR="00B03586" w:rsidRPr="00B03586" w:rsidRDefault="00B03586" w:rsidP="00B03586">
      <w:pPr>
        <w:autoSpaceDE w:val="0"/>
        <w:autoSpaceDN w:val="0"/>
        <w:adjustRightInd w:val="0"/>
        <w:spacing w:after="42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Riskien hallinta: Järjestelmällistä toimintaa riskien hallitsemiseksi niin, että ne ovat optimisuhteessa riskien rajoittamisen kustannuksiin samalla kun kunnan toiminnalle asetetut tavoitteet voidaan saavuttaa.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Pr="00B03586">
        <w:rPr>
          <w:rFonts w:ascii="Wingdings" w:hAnsi="Wingdings" w:cs="Wingdings"/>
        </w:rPr>
        <w:t></w:t>
      </w:r>
      <w:r w:rsidRPr="00B03586">
        <w:rPr>
          <w:rFonts w:ascii="Calibri" w:hAnsi="Calibri" w:cs="Calibri"/>
        </w:rPr>
        <w:t xml:space="preserve">Varautuminen: Tekniset järjestelyt ja toimintatavat, joilla kunnan toimintojen ja palveluiden jatkuvuus turvataan normaalioloissa, häiriötilanteissa sekä poikkeusoloissa. </w:t>
      </w:r>
    </w:p>
    <w:p w:rsidR="00B03586" w:rsidRPr="00B03586" w:rsidRDefault="0051272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="00B03586" w:rsidRPr="00B03586">
        <w:rPr>
          <w:rFonts w:ascii="Calibri" w:hAnsi="Calibri" w:cs="Calibri"/>
        </w:rPr>
        <w:t xml:space="preserve"> Tietoturvallisuus: Hallinnolliset, tekniset ja muut keinot, joilla suojataan kunnan omistamaa tai hallinnoimaa tietoa </w:t>
      </w:r>
      <w:proofErr w:type="spellStart"/>
      <w:r w:rsidR="00B03586" w:rsidRPr="00B03586">
        <w:rPr>
          <w:rFonts w:ascii="Calibri" w:hAnsi="Calibri" w:cs="Calibri"/>
        </w:rPr>
        <w:t>normaali-</w:t>
      </w:r>
      <w:proofErr w:type="spellEnd"/>
      <w:r w:rsidR="00B03586" w:rsidRPr="00B03586">
        <w:rPr>
          <w:rFonts w:ascii="Calibri" w:hAnsi="Calibri" w:cs="Calibri"/>
        </w:rPr>
        <w:t xml:space="preserve"> ja häiriötilanteissa sekä poikkeusoloissa</w:t>
      </w:r>
    </w:p>
    <w:p w:rsidR="00B03586" w:rsidRDefault="0051272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  <w:r w:rsidRPr="00B03586">
        <w:rPr>
          <w:rFonts w:ascii="Wingdings" w:hAnsi="Wingdings" w:cs="Wingdings"/>
        </w:rPr>
        <w:t></w:t>
      </w:r>
      <w:r w:rsidR="00B03586" w:rsidRPr="00B03586">
        <w:rPr>
          <w:rFonts w:ascii="Calibri" w:hAnsi="Calibri" w:cs="Calibri"/>
        </w:rPr>
        <w:t xml:space="preserve"> Tietosuoja: Velvoittavien tietosuojasäädösten mukaiset toimenpiteet, joilla varmistetaan henkilön riittävä yksityisyyden suoja, ja muut sitä turvaavat oikeudet, henkilötietoja käsiteltäessä. </w:t>
      </w:r>
    </w:p>
    <w:p w:rsidR="00B03586" w:rsidRDefault="00B03586" w:rsidP="00B03586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Sopimushallinnan keinoin pidetään huolta siitä, että digitaalinen turvallisuus toteutuu myös sidosryhmien toiminnassa.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 Organisointi, roolit ja vastuut </w:t>
      </w:r>
    </w:p>
    <w:p w:rsidR="00B03586" w:rsidRDefault="00B03586" w:rsidP="00B03586">
      <w:pPr>
        <w:pStyle w:val="Default"/>
        <w:ind w:left="1304"/>
        <w:rPr>
          <w:color w:val="auto"/>
          <w:sz w:val="28"/>
          <w:szCs w:val="28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Digitaaliseen turvallisuuteen liittyvät roolit vastuineen on organisoitu kunnassa seuraavasti.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Kunnan-/kaupunginhallitus </w:t>
      </w:r>
      <w:r>
        <w:rPr>
          <w:color w:val="auto"/>
          <w:sz w:val="22"/>
          <w:szCs w:val="22"/>
        </w:rPr>
        <w:t>seuraa digitaalisen turvallisuuden tot</w:t>
      </w:r>
      <w:r w:rsidR="00D458CE">
        <w:rPr>
          <w:color w:val="auto"/>
          <w:sz w:val="22"/>
          <w:szCs w:val="22"/>
        </w:rPr>
        <w:t>eutumista kunnassa. Kunnan-/kau</w:t>
      </w:r>
      <w:r>
        <w:rPr>
          <w:color w:val="auto"/>
          <w:sz w:val="22"/>
          <w:szCs w:val="22"/>
        </w:rPr>
        <w:t>punginhallitus hyväksyy digiturvapolitiikan. Lisäksi hallituksella on vastuu k</w:t>
      </w:r>
      <w:r w:rsidR="00D458CE">
        <w:rPr>
          <w:color w:val="auto"/>
          <w:sz w:val="22"/>
          <w:szCs w:val="22"/>
        </w:rPr>
        <w:t>unnan sisäisen valvonnan ja ris</w:t>
      </w:r>
      <w:r>
        <w:rPr>
          <w:color w:val="auto"/>
          <w:sz w:val="22"/>
          <w:szCs w:val="22"/>
        </w:rPr>
        <w:t xml:space="preserve">kienhallinnan järjestämisestä.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Kunnan-/kaupunginjohtajalla </w:t>
      </w:r>
      <w:r>
        <w:rPr>
          <w:color w:val="auto"/>
          <w:sz w:val="22"/>
          <w:szCs w:val="22"/>
        </w:rPr>
        <w:t>on kokonaisvastuu digitaalisen turvallisuuden toteuttamisesta ja sen toteutumisen raportoinnista hallitukselle. Kunnan-/kaupunginjohtaja omistaa digiturvapolitiikan ja hyväksyy siitä johdetut tarkentavat ohjeet ja määräykset sekä vastaa säännöllisestä digiturvallisuuden katselmuksesta.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 w:rsidRPr="00B03586">
        <w:rPr>
          <w:b/>
          <w:color w:val="auto"/>
          <w:sz w:val="22"/>
          <w:szCs w:val="22"/>
        </w:rPr>
        <w:t>Toimialajohtaja</w:t>
      </w:r>
      <w:r>
        <w:rPr>
          <w:color w:val="auto"/>
          <w:sz w:val="22"/>
          <w:szCs w:val="22"/>
        </w:rPr>
        <w:t xml:space="preserve"> vastaa</w:t>
      </w:r>
      <w:r w:rsidRPr="00B0358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toimialansa digitaalisen turvallisuuden toteutumisesta.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Tytäryhtiöiden hallitukset ja toimitusjohtajat </w:t>
      </w:r>
      <w:r>
        <w:rPr>
          <w:color w:val="auto"/>
          <w:sz w:val="22"/>
          <w:szCs w:val="22"/>
        </w:rPr>
        <w:t xml:space="preserve">vastaavat digitaalisen turvallisuuden toteutumisesta omissa organisaatioissaan.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Esimies </w:t>
      </w:r>
      <w:r>
        <w:rPr>
          <w:color w:val="auto"/>
          <w:sz w:val="22"/>
          <w:szCs w:val="22"/>
        </w:rPr>
        <w:t>vastaa digitaalisen turvallisuuden toteutumisesta omalla vastuualueellaan.</w:t>
      </w:r>
    </w:p>
    <w:p w:rsidR="00B03586" w:rsidRDefault="00B03586" w:rsidP="00B03586">
      <w:pPr>
        <w:pStyle w:val="Default"/>
        <w:spacing w:after="39"/>
        <w:ind w:left="130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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Henkilöstö </w:t>
      </w:r>
      <w:r>
        <w:rPr>
          <w:color w:val="auto"/>
          <w:sz w:val="22"/>
          <w:szCs w:val="22"/>
        </w:rPr>
        <w:t xml:space="preserve">vastaa omalta osaltaan määräysten ja ohjeiden noudattamisesta. Jokainen on lisäksi velvollinen ilmoittamaan poikkeamista, uhkista ja riskeistä välittömästi omalle esimiehelleen, tietosuojavastaavalle tai IT-vastuuhenkilölle.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 w:rsidRPr="00C149CA">
        <w:rPr>
          <w:b/>
          <w:color w:val="auto"/>
          <w:sz w:val="22"/>
          <w:szCs w:val="22"/>
        </w:rPr>
        <w:t>Tietojärjestelmästä tai muusta teknisestä kokonaisuudesta vastaava</w:t>
      </w:r>
      <w:r>
        <w:rPr>
          <w:color w:val="auto"/>
          <w:sz w:val="22"/>
          <w:szCs w:val="22"/>
        </w:rPr>
        <w:t xml:space="preserve"> viranomainen </w:t>
      </w:r>
      <w:r w:rsidRPr="001E3556">
        <w:rPr>
          <w:bCs/>
          <w:color w:val="auto"/>
          <w:sz w:val="22"/>
          <w:szCs w:val="22"/>
        </w:rPr>
        <w:t>päättää</w:t>
      </w:r>
      <w:r>
        <w:rPr>
          <w:color w:val="auto"/>
          <w:sz w:val="22"/>
          <w:szCs w:val="22"/>
        </w:rPr>
        <w:t xml:space="preserve"> järjestelmänsä ja sen sisältämän tiedon digitaalisen turvallisuuden toteutumisesta.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Pääkäyttäjä </w:t>
      </w:r>
      <w:r>
        <w:rPr>
          <w:color w:val="auto"/>
          <w:sz w:val="22"/>
          <w:szCs w:val="22"/>
        </w:rPr>
        <w:t xml:space="preserve">vastaa järjestelmänsä osalta digitaalisen turvallisuuden toteuttamisesta tietojärjestelmän omistajan ohjauksessa.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Tiedosta </w:t>
      </w:r>
      <w:r>
        <w:rPr>
          <w:color w:val="auto"/>
          <w:sz w:val="22"/>
          <w:szCs w:val="22"/>
        </w:rPr>
        <w:t xml:space="preserve">vastaava viranomainen päättää tiedon luokittelusta (julkisuuden ja salassapidon määrittely) ja eheyden varmistamisesta sekä tallentamisesta luokituksen edellyttämään ympäristöön.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 w:rsidRPr="007A5477">
        <w:rPr>
          <w:b/>
          <w:color w:val="auto"/>
          <w:sz w:val="22"/>
          <w:szCs w:val="22"/>
        </w:rPr>
        <w:t>Digiturvakoordinaattori</w:t>
      </w:r>
      <w:r>
        <w:rPr>
          <w:color w:val="auto"/>
          <w:sz w:val="22"/>
          <w:szCs w:val="22"/>
        </w:rPr>
        <w:t xml:space="preserve"> vastaa digiturvapolitiikan jalk</w:t>
      </w:r>
      <w:r w:rsidR="00CA0404">
        <w:rPr>
          <w:color w:val="auto"/>
          <w:sz w:val="22"/>
          <w:szCs w:val="22"/>
        </w:rPr>
        <w:t>auttamisen tukemisesta kunnassa sekä tähän sisältyvästä tietosuojavastaavan tehtävästä.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Tietosuojavastaava </w:t>
      </w:r>
      <w:r>
        <w:rPr>
          <w:color w:val="auto"/>
          <w:sz w:val="22"/>
          <w:szCs w:val="22"/>
        </w:rPr>
        <w:t>edistää tietoturvallisuuden ja tietosuojan toteutumista kunnassa. Tietosuojavastaava on riippumaton toimija, joka seuraa tietosuojaa ohjaavan lainsäädännön noudattamista kunnassa. Lisäksi tietosuojavastaava tekee yhteistyötä valvonta- ja muiden viranomaisten kanssa sekä tukee ja neuvoo tietoturva- ja tietosuoja -asioissa. Tietosuojavastaava raportoi tietoturvallisuuden ja t</w:t>
      </w:r>
      <w:r w:rsidR="00512726">
        <w:rPr>
          <w:color w:val="auto"/>
          <w:sz w:val="22"/>
          <w:szCs w:val="22"/>
        </w:rPr>
        <w:t>ietosuojan toteutumisesta kaupunginjohtajalle ja</w:t>
      </w:r>
      <w:r>
        <w:rPr>
          <w:color w:val="auto"/>
          <w:sz w:val="22"/>
          <w:szCs w:val="22"/>
        </w:rPr>
        <w:t xml:space="preserve"> vastaa tieto-turvallisuuteen ja tietosuojaan liittyvästä viestinnästä yhdessä viestintätoimen kanssa.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proofErr w:type="spellStart"/>
      <w:r w:rsidRPr="00E0791B">
        <w:rPr>
          <w:b/>
          <w:color w:val="auto"/>
          <w:sz w:val="22"/>
          <w:szCs w:val="22"/>
        </w:rPr>
        <w:t>Wiitaunionin</w:t>
      </w:r>
      <w:proofErr w:type="spellEnd"/>
      <w:r w:rsidRPr="00E0791B">
        <w:rPr>
          <w:b/>
          <w:color w:val="auto"/>
          <w:sz w:val="22"/>
          <w:szCs w:val="22"/>
        </w:rPr>
        <w:t xml:space="preserve"> johtoryhmä</w:t>
      </w:r>
      <w:r>
        <w:rPr>
          <w:b/>
          <w:color w:val="auto"/>
          <w:sz w:val="22"/>
          <w:szCs w:val="22"/>
        </w:rPr>
        <w:t xml:space="preserve"> </w:t>
      </w:r>
      <w:r w:rsidRPr="00E0791B">
        <w:rPr>
          <w:color w:val="auto"/>
          <w:sz w:val="22"/>
          <w:szCs w:val="22"/>
        </w:rPr>
        <w:t>johtaa,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koordinoi, ohjaa toimi</w:t>
      </w:r>
      <w:r w:rsidRPr="00E0791B">
        <w:rPr>
          <w:color w:val="auto"/>
          <w:sz w:val="22"/>
          <w:szCs w:val="22"/>
        </w:rPr>
        <w:t>alakohtaista tietoturva- ja tietosuojatyötä</w:t>
      </w:r>
      <w:r>
        <w:rPr>
          <w:color w:val="auto"/>
          <w:sz w:val="22"/>
          <w:szCs w:val="22"/>
        </w:rPr>
        <w:t xml:space="preserve"> ja seuraa työtä johdon katselmuksin.</w:t>
      </w:r>
    </w:p>
    <w:p w:rsidR="00B03586" w:rsidRDefault="00B03586" w:rsidP="00CA0404">
      <w:pPr>
        <w:pStyle w:val="Default"/>
        <w:rPr>
          <w:b/>
          <w:bCs/>
          <w:color w:val="auto"/>
          <w:sz w:val="22"/>
          <w:szCs w:val="22"/>
        </w:rPr>
      </w:pPr>
    </w:p>
    <w:p w:rsidR="00512726" w:rsidRDefault="00CA0404" w:rsidP="00512726">
      <w:pPr>
        <w:pStyle w:val="Default"/>
        <w:ind w:left="130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Digiturva</w:t>
      </w:r>
      <w:r w:rsidR="00B03586">
        <w:rPr>
          <w:b/>
          <w:bCs/>
          <w:color w:val="auto"/>
          <w:sz w:val="22"/>
          <w:szCs w:val="22"/>
        </w:rPr>
        <w:t xml:space="preserve">ryhmä </w:t>
      </w:r>
      <w:r w:rsidR="00B03586">
        <w:rPr>
          <w:color w:val="auto"/>
          <w:sz w:val="22"/>
          <w:szCs w:val="22"/>
        </w:rPr>
        <w:t>toimii tietosuojavasta</w:t>
      </w:r>
      <w:r w:rsidR="00800E60">
        <w:rPr>
          <w:color w:val="auto"/>
          <w:sz w:val="22"/>
          <w:szCs w:val="22"/>
        </w:rPr>
        <w:t>avan tukena kunnassa. R</w:t>
      </w:r>
      <w:r w:rsidR="00B03586">
        <w:rPr>
          <w:color w:val="auto"/>
          <w:sz w:val="22"/>
          <w:szCs w:val="22"/>
        </w:rPr>
        <w:t xml:space="preserve">yhmä seuraa tietoturvallisuuden ja tietosuojan yleistä kehittymistä, uhkia ja riskejä sekä tietoturvallisuuden </w:t>
      </w:r>
      <w:r w:rsidR="00D458CE">
        <w:rPr>
          <w:color w:val="auto"/>
          <w:sz w:val="22"/>
          <w:szCs w:val="22"/>
        </w:rPr>
        <w:t>ja tietosuojan toteutumista kun</w:t>
      </w:r>
      <w:r w:rsidR="00B03586">
        <w:rPr>
          <w:color w:val="auto"/>
          <w:sz w:val="22"/>
          <w:szCs w:val="22"/>
        </w:rPr>
        <w:t>nassa. Ryhmä analysoi ja arvioi em. kokonaisuutta ja tekee siihen perustu</w:t>
      </w:r>
      <w:r w:rsidR="00D458CE">
        <w:rPr>
          <w:color w:val="auto"/>
          <w:sz w:val="22"/>
          <w:szCs w:val="22"/>
        </w:rPr>
        <w:t>en kehitysehdotuksia kunnan tie</w:t>
      </w:r>
      <w:r w:rsidR="00800E60">
        <w:rPr>
          <w:color w:val="auto"/>
          <w:sz w:val="22"/>
          <w:szCs w:val="22"/>
        </w:rPr>
        <w:t>toturvallisuuden ja tietos</w:t>
      </w:r>
      <w:bookmarkStart w:id="0" w:name="_GoBack"/>
      <w:bookmarkEnd w:id="0"/>
      <w:r w:rsidR="00B03586">
        <w:rPr>
          <w:color w:val="auto"/>
          <w:sz w:val="22"/>
          <w:szCs w:val="22"/>
        </w:rPr>
        <w:t>uojan parantamiseksi</w:t>
      </w:r>
      <w:r w:rsidR="00512726">
        <w:rPr>
          <w:color w:val="auto"/>
          <w:sz w:val="22"/>
          <w:szCs w:val="22"/>
        </w:rPr>
        <w:t>. Lisäksi ryhmä toimii, yhdessä digiturvakoordinaattorin</w:t>
      </w:r>
    </w:p>
    <w:p w:rsidR="00B03586" w:rsidRDefault="0051272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/</w:t>
      </w:r>
      <w:r w:rsidR="00B03586">
        <w:rPr>
          <w:color w:val="auto"/>
          <w:sz w:val="22"/>
          <w:szCs w:val="22"/>
        </w:rPr>
        <w:t>tietosuojavastaavan kanssa, kunnan tukena tietot</w:t>
      </w:r>
      <w:r w:rsidR="00CA0404">
        <w:rPr>
          <w:color w:val="auto"/>
          <w:sz w:val="22"/>
          <w:szCs w:val="22"/>
        </w:rPr>
        <w:t xml:space="preserve">urva- ja tietosuoja -asioissa.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 w:rsidRPr="00B03586">
        <w:rPr>
          <w:b/>
          <w:color w:val="auto"/>
          <w:sz w:val="22"/>
          <w:szCs w:val="22"/>
        </w:rPr>
        <w:t>Henkilöstöjohtaja</w:t>
      </w:r>
      <w:r>
        <w:rPr>
          <w:color w:val="auto"/>
          <w:sz w:val="22"/>
          <w:szCs w:val="22"/>
        </w:rPr>
        <w:t xml:space="preserve"> vastaa digitaalisen turvallisuuden </w:t>
      </w:r>
      <w:r w:rsidR="00800E60">
        <w:rPr>
          <w:color w:val="auto"/>
          <w:sz w:val="22"/>
          <w:szCs w:val="22"/>
        </w:rPr>
        <w:t xml:space="preserve">ohjeistamisesta ja </w:t>
      </w:r>
      <w:r>
        <w:rPr>
          <w:color w:val="auto"/>
          <w:sz w:val="22"/>
          <w:szCs w:val="22"/>
        </w:rPr>
        <w:t>to</w:t>
      </w:r>
      <w:r w:rsidR="00800E60">
        <w:rPr>
          <w:color w:val="auto"/>
          <w:sz w:val="22"/>
          <w:szCs w:val="22"/>
        </w:rPr>
        <w:t>teutumisesta henkilöstöprosessin</w:t>
      </w:r>
      <w:r>
        <w:rPr>
          <w:color w:val="auto"/>
          <w:sz w:val="22"/>
          <w:szCs w:val="22"/>
        </w:rPr>
        <w:t xml:space="preserve"> kaikissa vaiheissa työ-/virkasuhteen alkamisesta sen päättymiseen.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Pr="00B03586" w:rsidRDefault="00B03586" w:rsidP="00B03586">
      <w:pPr>
        <w:pStyle w:val="Default"/>
        <w:ind w:left="1304"/>
        <w:rPr>
          <w:b/>
          <w:color w:val="auto"/>
          <w:sz w:val="22"/>
          <w:szCs w:val="22"/>
        </w:rPr>
      </w:pPr>
      <w:r w:rsidRPr="00B03586">
        <w:rPr>
          <w:b/>
          <w:color w:val="auto"/>
          <w:sz w:val="22"/>
          <w:szCs w:val="22"/>
        </w:rPr>
        <w:t>Ulkoiset sidosryhmät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vastaavat omalta osaltaan tietoturvallisuuden ja tietosuojan toteuttamisesta, sopimuksissa kuvattujen kunnan asettamien vaatimusten mukaisesti.</w:t>
      </w:r>
    </w:p>
    <w:p w:rsidR="00B03586" w:rsidRDefault="00B03586" w:rsidP="00B03586">
      <w:pPr>
        <w:pStyle w:val="Default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 Tiedon ja tietojärjestelmien käyttö</w:t>
      </w:r>
    </w:p>
    <w:p w:rsidR="00B03586" w:rsidRDefault="00B03586" w:rsidP="00B03586">
      <w:pPr>
        <w:pStyle w:val="Default"/>
        <w:ind w:left="1304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Kunnan tietojärjestelmäympäristössä käytetään kunnan hyväksymiä tietojärjestelmiä, laitteita ja ohjelmistoja, jotka on tarkoitettu työtehtävien hoitamista varten. Kunnan tietojärjestelmäympäristöön saa tehdä muutoksia vain kunnan IT tai sen valtuuttama taho.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Pääsyoikeudet kunnan tietoverkkoon ja -järjestelmiin sekä käyttöoikeudet</w:t>
      </w:r>
      <w:r w:rsidR="00D458CE">
        <w:rPr>
          <w:color w:val="auto"/>
          <w:sz w:val="22"/>
          <w:szCs w:val="22"/>
        </w:rPr>
        <w:t xml:space="preserve"> kunnan omistamaan ja hallinnoi</w:t>
      </w:r>
      <w:r>
        <w:rPr>
          <w:color w:val="auto"/>
          <w:sz w:val="22"/>
          <w:szCs w:val="22"/>
        </w:rPr>
        <w:t xml:space="preserve">maan tietoon myönnetään työtehtävien hoitoon tarvittavassa laajuudessa.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 Digitaalisen turvallisuuden toteuttaminen </w:t>
      </w:r>
    </w:p>
    <w:p w:rsidR="00B03586" w:rsidRDefault="00B03586" w:rsidP="00B03586">
      <w:pPr>
        <w:pStyle w:val="Default"/>
        <w:ind w:left="1304"/>
        <w:rPr>
          <w:color w:val="auto"/>
          <w:sz w:val="28"/>
          <w:szCs w:val="28"/>
        </w:rPr>
      </w:pP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Digitaalista turvallisuutta toteutetaan kunnan hallintojärjestelmässä kuvattavilla jatkuvaan parantamiseen tähtäävillä </w:t>
      </w:r>
      <w:proofErr w:type="spellStart"/>
      <w:r>
        <w:rPr>
          <w:color w:val="auto"/>
          <w:sz w:val="22"/>
          <w:szCs w:val="22"/>
        </w:rPr>
        <w:t>johtamis</w:t>
      </w:r>
      <w:proofErr w:type="spellEnd"/>
      <w:r>
        <w:rPr>
          <w:color w:val="auto"/>
          <w:sz w:val="22"/>
          <w:szCs w:val="22"/>
        </w:rPr>
        <w:t xml:space="preserve">- ja muilla käytännöillä. Keskeistä toteuttamisessa on, että kunnalla on riittävät kyvykkyydet ylläpitää turvallisuuskulttuuriaan mm. seuraavasti: </w:t>
      </w:r>
    </w:p>
    <w:p w:rsidR="00B03586" w:rsidRDefault="00B03586" w:rsidP="00B03586">
      <w:pPr>
        <w:pStyle w:val="Default"/>
        <w:spacing w:after="39"/>
        <w:ind w:left="130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Digitaalista turvallisuutta johdetaan järjestelmällisesti </w:t>
      </w:r>
    </w:p>
    <w:p w:rsidR="00B03586" w:rsidRDefault="00B03586" w:rsidP="00B03586">
      <w:pPr>
        <w:pStyle w:val="Default"/>
        <w:spacing w:after="39"/>
        <w:ind w:left="130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Henkilöstön osaamisesta huolehditaan jatkuvilla koulutuskäytännöillä </w:t>
      </w:r>
    </w:p>
    <w:p w:rsidR="00B03586" w:rsidRDefault="00B03586" w:rsidP="00B03586">
      <w:pPr>
        <w:pStyle w:val="Default"/>
        <w:spacing w:after="39"/>
        <w:ind w:left="130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Toimintaympäristön tilaa seurataan </w:t>
      </w:r>
    </w:p>
    <w:p w:rsidR="00B03586" w:rsidRDefault="00B03586" w:rsidP="00B03586">
      <w:pPr>
        <w:pStyle w:val="Default"/>
        <w:spacing w:after="39"/>
        <w:ind w:left="130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Uhka- ja riskiympäristöä arvioidaan säännöllisesti ja reagoidaan tilanteen edellyttämällä tavalla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Poikkeamiin ja häiriöihin varaudutaan ennakolta ylläpitämällä, harjoitte</w:t>
      </w:r>
      <w:r w:rsidR="00CA0404">
        <w:rPr>
          <w:color w:val="auto"/>
          <w:sz w:val="22"/>
          <w:szCs w:val="22"/>
        </w:rPr>
        <w:t>lemalla ja testaamalla tarvitta</w:t>
      </w:r>
      <w:r>
        <w:rPr>
          <w:color w:val="auto"/>
          <w:sz w:val="22"/>
          <w:szCs w:val="22"/>
        </w:rPr>
        <w:t xml:space="preserve">via jatkuvuus- ja muita suunnitelmia. </w:t>
      </w:r>
    </w:p>
    <w:p w:rsidR="00B03586" w:rsidRDefault="00B03586" w:rsidP="00B03586">
      <w:pPr>
        <w:pStyle w:val="Default"/>
        <w:ind w:left="1304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130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 Dokumentin ylläpito </w:t>
      </w:r>
    </w:p>
    <w:p w:rsidR="00B03586" w:rsidRDefault="00B03586" w:rsidP="00B03586">
      <w:pPr>
        <w:pStyle w:val="Default"/>
        <w:ind w:left="1304"/>
        <w:rPr>
          <w:color w:val="auto"/>
          <w:sz w:val="28"/>
          <w:szCs w:val="28"/>
        </w:rPr>
      </w:pPr>
    </w:p>
    <w:p w:rsidR="00B03586" w:rsidRDefault="00B03586" w:rsidP="00B03586">
      <w:pPr>
        <w:ind w:left="1304"/>
      </w:pPr>
      <w:r>
        <w:t>Tämän politiikan säännöllisestä katselmoinnista ja päivittämisestä vastaa kaupungin-/kunnanjohtaja tai hänen nimeämänsä taho. Politiikka on julkisesti saatavilla kunnan verkkosivuilla. Kunnan digiturvadokumentaatiota kokonaisuudessaan pidetään henkilöstön saatavilla kunnan sisäisissä informaatiokanavissa työtehtävien edellyttämässä laajuudessa.</w:t>
      </w:r>
    </w:p>
    <w:p w:rsidR="00B03586" w:rsidRDefault="00B03586" w:rsidP="00B03586">
      <w:pPr>
        <w:pStyle w:val="Default"/>
        <w:ind w:left="2608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3912"/>
        <w:rPr>
          <w:color w:val="auto"/>
          <w:sz w:val="22"/>
          <w:szCs w:val="22"/>
        </w:rPr>
      </w:pPr>
    </w:p>
    <w:p w:rsidR="00B03586" w:rsidRDefault="00B03586" w:rsidP="00B03586">
      <w:pPr>
        <w:pStyle w:val="Default"/>
        <w:ind w:left="26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03586" w:rsidRPr="00B03586" w:rsidRDefault="00B03586" w:rsidP="00B03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4321" w:rsidRDefault="00E74321"/>
    <w:sectPr w:rsidR="00E74321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1A" w:rsidRDefault="00DB7E1A" w:rsidP="00B03586">
      <w:pPr>
        <w:spacing w:after="0" w:line="240" w:lineRule="auto"/>
      </w:pPr>
      <w:r>
        <w:separator/>
      </w:r>
    </w:p>
  </w:endnote>
  <w:endnote w:type="continuationSeparator" w:id="0">
    <w:p w:rsidR="00DB7E1A" w:rsidRDefault="00DB7E1A" w:rsidP="00B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916897"/>
      <w:docPartObj>
        <w:docPartGallery w:val="Page Numbers (Bottom of Page)"/>
        <w:docPartUnique/>
      </w:docPartObj>
    </w:sdtPr>
    <w:sdtEndPr/>
    <w:sdtContent>
      <w:p w:rsidR="00B03586" w:rsidRDefault="00B0358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E60">
          <w:rPr>
            <w:noProof/>
          </w:rPr>
          <w:t>3</w:t>
        </w:r>
        <w:r>
          <w:fldChar w:fldCharType="end"/>
        </w:r>
      </w:p>
    </w:sdtContent>
  </w:sdt>
  <w:p w:rsidR="00B03586" w:rsidRDefault="00B0358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1A" w:rsidRDefault="00DB7E1A" w:rsidP="00B03586">
      <w:pPr>
        <w:spacing w:after="0" w:line="240" w:lineRule="auto"/>
      </w:pPr>
      <w:r>
        <w:separator/>
      </w:r>
    </w:p>
  </w:footnote>
  <w:footnote w:type="continuationSeparator" w:id="0">
    <w:p w:rsidR="00DB7E1A" w:rsidRDefault="00DB7E1A" w:rsidP="00B0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6"/>
    <w:rsid w:val="000F7D7A"/>
    <w:rsid w:val="00512726"/>
    <w:rsid w:val="00800E60"/>
    <w:rsid w:val="00B03586"/>
    <w:rsid w:val="00BA367A"/>
    <w:rsid w:val="00CA0404"/>
    <w:rsid w:val="00D03EC5"/>
    <w:rsid w:val="00D458CE"/>
    <w:rsid w:val="00DB7E1A"/>
    <w:rsid w:val="00E74321"/>
    <w:rsid w:val="00F57338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9285-0E48-470F-A0B1-2A50AA2A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3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3586"/>
  </w:style>
  <w:style w:type="paragraph" w:styleId="Alatunniste">
    <w:name w:val="footer"/>
    <w:basedOn w:val="Normaali"/>
    <w:link w:val="AlatunnisteChar"/>
    <w:uiPriority w:val="99"/>
    <w:unhideWhenUsed/>
    <w:rsid w:val="00B03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3586"/>
  </w:style>
  <w:style w:type="paragraph" w:customStyle="1" w:styleId="Default">
    <w:name w:val="Default"/>
    <w:rsid w:val="00B03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 Tiina</dc:creator>
  <cp:keywords/>
  <dc:description/>
  <cp:lastModifiedBy>Honkanen Tiina</cp:lastModifiedBy>
  <cp:revision>3</cp:revision>
  <dcterms:created xsi:type="dcterms:W3CDTF">2020-09-24T12:42:00Z</dcterms:created>
  <dcterms:modified xsi:type="dcterms:W3CDTF">2020-09-24T12:45:00Z</dcterms:modified>
</cp:coreProperties>
</file>